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02" w:right="0" w:hanging="36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Сертификация и утилизация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30" w:line="240" w:lineRule="auto"/>
        <w:ind w:left="586" w:right="854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Вся продукция ООО «РЭС» сертифицирована </w:t>
      </w: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 №ЕАЭС RU С-RU. HE42. B.00702/24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. Информация о сертификации нанесена на индивидуальной упаковке.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2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Светодиодные светильники ООО «РЭС» экологически безопасны, не требуют специальных условий и разрешений для утилизации, не относятся к опасным отходам согласно перечню Федерального классификационного каталога отходов, утвержденного Приказом Министерства Природных Ресурсов РФ от 02.12.2002 г. № 786.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2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39" w:line="240" w:lineRule="auto"/>
        <w:ind w:left="502" w:right="0" w:hanging="36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Гарантийные обязательства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32" w:line="240" w:lineRule="auto"/>
        <w:ind w:left="586" w:right="241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Замена вышедшей из строя электротехнической продукции осуществляется при наличии счёта-фактуры и данной инструкции или при наличии и кассового чека, и данной инструкции, и/или гарантийного талона.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2" w:line="240" w:lineRule="auto"/>
        <w:ind w:left="586" w:right="24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Гарантийный срок - 5 лет от даты покупки при условии соблюдения условий эксплуатации.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8" w:line="240" w:lineRule="auto"/>
        <w:ind w:left="586" w:right="248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При отсутствии штампа магазина или торгующей организации срок гарантии исчисляется со дня выпуска светодиодного светильника 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«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THOR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9" w:line="240" w:lineRule="auto"/>
        <w:ind w:left="586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Светильник соответствует ТУ и признан годным к эксплуатации.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98"/>
        </w:tabs>
        <w:spacing w:after="0" w:before="90" w:line="240" w:lineRule="auto"/>
        <w:ind w:left="22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Дата выпуска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666"/>
        </w:tabs>
        <w:spacing w:after="0" w:before="91" w:line="240" w:lineRule="auto"/>
        <w:ind w:left="22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Контролер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" w:line="240" w:lineRule="auto"/>
        <w:ind w:left="25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Необходимые условия для предоставления гарантии на электротехническую продукцию ООО «РЭС»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3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Замене подлежат неработающие изделия 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«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THOR</w:t>
      </w: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»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при отсутствии видимых физических повреждений;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1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Замена осуществляется при предъявлении правильно заполненного паспорта и счёт-фактуры предприятия, в котором была приобретен товар;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1" w:line="240" w:lineRule="auto"/>
        <w:ind w:left="586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Не подлежат замене товары, имеющие видимые механические повреждения;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3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Не подлежат замене товары, вышедшие из строя в результате попадания внутрь корпуса посторонних предметов, других материалов и веществ, не предназначенных для контакта с электротехнической продукцией;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6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Не подлежат замене товары, вышедшие из строя в результате действия обстоятельств непреодолимой силы: пожар, затопление и т.д.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12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Адрес завода изготовителя: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12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445007, Самарская обл., Тольятти, Енисейский пр-д, 54.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тел.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+7 (800) 201-16-36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bookmarkStart w:colFirst="0" w:colLast="0" w:name="_heading=h.1fob9te" w:id="2"/>
      <w:bookmarkEnd w:id="2"/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ООО «РЭС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»                          8-800-201-16-36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" w:line="240" w:lineRule="auto"/>
        <w:ind w:left="22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255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12700</wp:posOffset>
                </wp:positionV>
                <wp:extent cx="0" cy="12700"/>
                <wp:effectExtent b="0" l="0" r="0" t="0"/>
                <wp:wrapNone/>
                <wp:docPr id="2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983800" y="3780000"/>
                          <a:ext cx="47244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12700</wp:posOffset>
                </wp:positionV>
                <wp:extent cx="0" cy="12700"/>
                <wp:effectExtent b="0" l="0" r="0" t="0"/>
                <wp:wrapNone/>
                <wp:docPr id="2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255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237" w:right="255" w:firstLine="0"/>
        <w:jc w:val="center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ПАСПОРТ и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" w:line="240" w:lineRule="auto"/>
        <w:ind w:left="239" w:right="25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РУКОВОДСТВО ПО ЭКСПЛУАТАЦИИ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" w:line="240" w:lineRule="auto"/>
        <w:ind w:left="239" w:right="253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на светильник светодиодный серии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237" w:right="25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«THOR»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" w:line="240" w:lineRule="auto"/>
        <w:ind w:left="237" w:right="25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" w:line="240" w:lineRule="auto"/>
        <w:ind w:left="226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Светодиодный светильник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0" w:hanging="36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Назначение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 Серия светильников «TНОR» предназначена для освещения производственных промышленных, спортивных и прочих помещений с высотой подвеса до 50 метров. Светильники THOR с высокой светоотдачей до 185 лм/Вт, и литьевым корпусом позволяют решать оптимально задачи в сфере освещения.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Светодиодный светильник серии «THOR» — это:                             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2275205</wp:posOffset>
            </wp:positionH>
            <wp:positionV relativeFrom="paragraph">
              <wp:posOffset>53975</wp:posOffset>
            </wp:positionV>
            <wp:extent cx="2049145" cy="1465580"/>
            <wp:effectExtent b="0" l="0" r="0" t="0"/>
            <wp:wrapNone/>
            <wp:docPr id="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4655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Низкое энергопотребление;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380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Стабильность светового потока;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380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Отсутствие УФ- излучения;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Срок службы до 100 000 часов;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720" w:right="3655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Простота установки, идеальная замена для традиционных люминесцентных светильников;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0" w:hanging="36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Спецификация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396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Светильник –1 шт.,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396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Паспорт – 1 шт.,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396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Упаковка – 1 шт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Коэффициент пульсации &lt;5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Коэффициент мощности (cosφ) 0.95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Класс защиты от поражения током I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Частота сети 50Гц-60Гц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bookmarkStart w:colFirst="0" w:colLast="0" w:name="_heading=h.3znysh7" w:id="3"/>
      <w:bookmarkEnd w:id="3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Напряжение сети 120В-277В АС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Гальваническая развязка - есть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Защита от короткого замыкания – есть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Защита от превышения максимальной мощности – есть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Защита от превышения выходного напряжения – есть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Защита от обрыва в цепи нагрузки – есть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Защита от 380В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85"/>
        </w:tabs>
        <w:spacing w:after="0" w:before="0" w:line="240" w:lineRule="auto"/>
        <w:ind w:left="226" w:right="38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** Производитель оставляет за собой право вносить в конструкцию и комплектацию изделия технические изменения и усовершенствования, не ухудшающие технические характеристики изделия, в любое время и без предварительного уведомления.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0" w:hanging="36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Внешний вид и конструкция светильника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720" w:right="-279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Корпус изготовлен из алюминия методом литья и окрашен порошковой краской;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720" w:right="14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Линзы из органического стекла.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0" w:right="14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0" w:right="14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-393699</wp:posOffset>
                </wp:positionH>
                <wp:positionV relativeFrom="paragraph">
                  <wp:posOffset>114300</wp:posOffset>
                </wp:positionV>
                <wp:extent cx="5191125" cy="22733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1917000" y="3549168"/>
                          <a:ext cx="6858001" cy="4616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00"/>
                            </a:gs>
                            <a:gs pos="35000">
                              <a:srgbClr val="FFFFFF"/>
                            </a:gs>
                            <a:gs pos="66000">
                              <a:srgbClr val="FFFFFF"/>
                            </a:gs>
                            <a:gs pos="97000">
                              <a:srgbClr val="AEABAB"/>
                            </a:gs>
                            <a:gs pos="100000">
                              <a:srgbClr val="AEABAB"/>
                            </a:gs>
                          </a:gsLst>
                          <a:path path="circle">
                            <a:fillToRect b="100%" r="100%"/>
                          </a:path>
                          <a:tileRect l="-100%" t="-100%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         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-393699</wp:posOffset>
                </wp:positionH>
                <wp:positionV relativeFrom="paragraph">
                  <wp:posOffset>114300</wp:posOffset>
                </wp:positionV>
                <wp:extent cx="5191125" cy="227330"/>
                <wp:effectExtent b="0" l="0" r="0" t="0"/>
                <wp:wrapNone/>
                <wp:docPr id="2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91125" cy="227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228600</wp:posOffset>
                </wp:positionV>
                <wp:extent cx="792480" cy="327660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829745" y="3649195"/>
                          <a:ext cx="1032510" cy="26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Световой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поток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228600</wp:posOffset>
                </wp:positionV>
                <wp:extent cx="792480" cy="327660"/>
                <wp:effectExtent b="0" l="0" r="0" t="0"/>
                <wp:wrapNone/>
                <wp:docPr id="2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2480" cy="327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2222500</wp:posOffset>
                </wp:positionH>
                <wp:positionV relativeFrom="paragraph">
                  <wp:posOffset>228600</wp:posOffset>
                </wp:positionV>
                <wp:extent cx="792480" cy="327660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829745" y="3649195"/>
                          <a:ext cx="1032510" cy="26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CRI/Цветовая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Температура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2222500</wp:posOffset>
                </wp:positionH>
                <wp:positionV relativeFrom="paragraph">
                  <wp:posOffset>228600</wp:posOffset>
                </wp:positionV>
                <wp:extent cx="792480" cy="327660"/>
                <wp:effectExtent b="0" l="0" r="0" t="0"/>
                <wp:wrapNone/>
                <wp:docPr id="2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2480" cy="327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88900</wp:posOffset>
                </wp:positionV>
                <wp:extent cx="3175" cy="21018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4413" y="3674894"/>
                          <a:ext cx="3175" cy="210212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3721100</wp:posOffset>
                </wp:positionH>
                <wp:positionV relativeFrom="paragraph">
                  <wp:posOffset>88900</wp:posOffset>
                </wp:positionV>
                <wp:extent cx="3175" cy="210185"/>
                <wp:effectExtent b="0" l="0" r="0" t="0"/>
                <wp:wrapNone/>
                <wp:docPr id="2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5" cy="210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88900</wp:posOffset>
                </wp:positionV>
                <wp:extent cx="3175" cy="21018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4413" y="3674894"/>
                          <a:ext cx="3175" cy="210212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88900</wp:posOffset>
                </wp:positionV>
                <wp:extent cx="3175" cy="210185"/>
                <wp:effectExtent b="0" l="0" r="0" t="0"/>
                <wp:wrapNone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75" cy="210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1498600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5547" y="3674894"/>
                          <a:ext cx="906" cy="210212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1498600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1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210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2603500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5547" y="3674894"/>
                          <a:ext cx="906" cy="210212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2603500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2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210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2057400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345547" y="3674894"/>
                          <a:ext cx="906" cy="210212"/>
                        </a:xfrm>
                        <a:prstGeom prst="straightConnector1">
                          <a:avLst/>
                        </a:prstGeom>
                        <a:noFill/>
                        <a:ln cap="flat" cmpd="sng"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2057400</wp:posOffset>
                </wp:positionH>
                <wp:positionV relativeFrom="paragraph">
                  <wp:posOffset>88900</wp:posOffset>
                </wp:positionV>
                <wp:extent cx="635" cy="210185"/>
                <wp:effectExtent b="0" l="0" r="0" t="0"/>
                <wp:wrapNone/>
                <wp:docPr id="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2101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228600</wp:posOffset>
                </wp:positionV>
                <wp:extent cx="642620" cy="21907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936426" y="3649195"/>
                          <a:ext cx="819149" cy="26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Модель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228600</wp:posOffset>
                </wp:positionV>
                <wp:extent cx="642620" cy="21907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620" cy="219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1206500</wp:posOffset>
                </wp:positionH>
                <wp:positionV relativeFrom="paragraph">
                  <wp:posOffset>228600</wp:posOffset>
                </wp:positionV>
                <wp:extent cx="659765" cy="21907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29745" y="3649195"/>
                          <a:ext cx="1032510" cy="26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Мощность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1206500</wp:posOffset>
                </wp:positionH>
                <wp:positionV relativeFrom="paragraph">
                  <wp:posOffset>228600</wp:posOffset>
                </wp:positionV>
                <wp:extent cx="659765" cy="219075"/>
                <wp:effectExtent b="0" l="0" r="0" t="0"/>
                <wp:wrapNone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9765" cy="219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3429000</wp:posOffset>
                </wp:positionH>
                <wp:positionV relativeFrom="paragraph">
                  <wp:posOffset>88900</wp:posOffset>
                </wp:positionV>
                <wp:extent cx="642620" cy="327660"/>
                <wp:effectExtent b="0" l="0" r="0" t="0"/>
                <wp:wrapNone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936426" y="3649195"/>
                          <a:ext cx="819149" cy="26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Степень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  <w:t xml:space="preserve">защиты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3429000</wp:posOffset>
                </wp:positionH>
                <wp:positionV relativeFrom="paragraph">
                  <wp:posOffset>88900</wp:posOffset>
                </wp:positionV>
                <wp:extent cx="642620" cy="327660"/>
                <wp:effectExtent b="0" l="0" r="0" t="0"/>
                <wp:wrapNone/>
                <wp:docPr id="2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620" cy="327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Углы линз: 60°-К60, 90°-К90, 120° - K120, </w:t>
      </w:r>
    </w:p>
    <w:p w:rsidR="00000000" w:rsidDel="00000000" w:rsidP="00000000" w:rsidRDefault="00000000" w:rsidRPr="00000000" w14:paraId="00000055">
      <w:pPr>
        <w:widowControl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-450" w:tblpY="0"/>
        <w:tblW w:w="7905.000000000001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0"/>
        <w:gridCol w:w="2126"/>
        <w:gridCol w:w="567"/>
        <w:gridCol w:w="567"/>
        <w:gridCol w:w="851"/>
        <w:gridCol w:w="425"/>
        <w:gridCol w:w="851"/>
        <w:gridCol w:w="850"/>
        <w:gridCol w:w="425"/>
        <w:gridCol w:w="426"/>
        <w:gridCol w:w="567"/>
        <w:tblGridChange w:id="0">
          <w:tblGrid>
            <w:gridCol w:w="250"/>
            <w:gridCol w:w="2126"/>
            <w:gridCol w:w="567"/>
            <w:gridCol w:w="567"/>
            <w:gridCol w:w="851"/>
            <w:gridCol w:w="425"/>
            <w:gridCol w:w="851"/>
            <w:gridCol w:w="850"/>
            <w:gridCol w:w="425"/>
            <w:gridCol w:w="426"/>
            <w:gridCol w:w="567"/>
          </w:tblGrid>
        </w:tblGridChange>
      </w:tblGrid>
      <w:tr>
        <w:trPr>
          <w:cantSplit w:val="0"/>
          <w:trHeight w:val="704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Наименование светильника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Мощ-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ность, Вт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Свето-вой поток, Лм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Энерго-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Эффектив-ность, лм/Вт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CRI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Цветовая температура, 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Размеры, мм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Вес, кг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0"/>
                <w:szCs w:val="10"/>
                <w:rtl w:val="0"/>
              </w:rPr>
              <w:t xml:space="preserve">Гаран-тия , года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100.15280.850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104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15 280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147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320x115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150.22620.850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154</w:t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22 620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147</w:t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320x115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200.29970.850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204</w:t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29 970</w:t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147</w:t>
            </w:r>
          </w:p>
        </w:tc>
        <w:tc>
          <w:tcPr/>
          <w:p w:rsidR="00000000" w:rsidDel="00000000" w:rsidP="00000000" w:rsidRDefault="00000000" w:rsidRPr="00000000" w14:paraId="0000007E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350x115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4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240.35840.850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244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35 840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147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80</w:t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350x115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F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100.18530.750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104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18 530</w:t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178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320x115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150.27440.750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154</w:t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27 440</w:t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178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320x115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5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200.36340.750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204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36 340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178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350x115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0">
            <w:pPr>
              <w:spacing w:before="10" w:lineRule="auto"/>
              <w:jc w:val="center"/>
              <w:rPr>
                <w:rFonts w:ascii="Arial" w:cs="Arial" w:eastAsia="Arial" w:hAnsi="Arial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THOR 240.43460.750 IP65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244</w:t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43 460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178</w:t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5000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350x115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3,7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65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spacing w:before="10" w:lineRule="auto"/>
              <w:jc w:val="center"/>
              <w:rPr>
                <w:rFonts w:ascii="Arial" w:cs="Arial" w:eastAsia="Arial" w:hAnsi="Arial"/>
                <w:sz w:val="8"/>
                <w:szCs w:val="8"/>
              </w:rPr>
            </w:pPr>
            <w:r w:rsidDel="00000000" w:rsidR="00000000" w:rsidRPr="00000000">
              <w:rPr>
                <w:rFonts w:ascii="Arial" w:cs="Arial" w:eastAsia="Arial" w:hAnsi="Arial"/>
                <w:sz w:val="8"/>
                <w:szCs w:val="8"/>
                <w:rtl w:val="0"/>
              </w:rPr>
              <w:t xml:space="preserve">5</w:t>
            </w:r>
          </w:p>
        </w:tc>
      </w:tr>
    </w:tbl>
    <w:p w:rsidR="00000000" w:rsidDel="00000000" w:rsidP="00000000" w:rsidRDefault="00000000" w:rsidRPr="00000000" w14:paraId="000000BB">
      <w:pPr>
        <w:widowControl w:val="0"/>
        <w:tabs>
          <w:tab w:val="left" w:leader="none" w:pos="587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*** Световой поток указан при температуре окружающей среды +25°С.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Допустимое отклонение величин: мощности, светового потока, массы от номинальных значений составляет ±10%.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Допустимое отклонение значений цветовой температуры от номинального значения составляет ±300К.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Питающая сеть должна быть защищена от коммутационных и грозовых импульсных помех.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Качество электроэнергии должно соответствовать ГОСТ 32144-2013.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- Климатическое исполнение УХЛ1 соответствует ГОСТ 15150-69.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" w:line="240" w:lineRule="auto"/>
        <w:ind w:left="0" w:right="236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0" w:hanging="361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Установка светильника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Кронштейн позволяет монтировать светильник как за одну точку на подвесе, так и опционально на горизонтальную или вертикальную поверхность с регулировкой угла наклона.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Монтаж светодиодного светильника должен быть произведен так, чтобы обеспечить надежную фиксацию и удобную схему расположения светильников;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1062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Подключить провода к клеммной колодке в соответствии с указанной полярностью;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106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1306195</wp:posOffset>
            </wp:positionH>
            <wp:positionV relativeFrom="paragraph">
              <wp:posOffset>88900</wp:posOffset>
            </wp:positionV>
            <wp:extent cx="1750060" cy="956945"/>
            <wp:effectExtent b="0" l="0" r="0" t="0"/>
            <wp:wrapNone/>
            <wp:docPr id="3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0060" cy="9569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                                                   Рисунок 1.  Электрическая схема подключения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9"/>
          <w:szCs w:val="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66" w:line="240" w:lineRule="auto"/>
        <w:ind w:left="284" w:right="0" w:hanging="58.999999999999986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Эксплуатация и техника безопасности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30" w:line="240" w:lineRule="auto"/>
        <w:ind w:left="586" w:right="242" w:hanging="2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Эксплуатация светильника производится в соответствии с «Правилами технической эксплуатации электроустановок потребителей».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3" w:hanging="2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Монтаж, демонтаж и обслуживание электротехнической продукции          ООО «РЭС» должны производиться при выключенном электропитании.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8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Во избежание несчастных случаев категорически запрещается: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295"/>
        </w:tabs>
        <w:spacing w:after="0" w:before="31" w:line="240" w:lineRule="auto"/>
        <w:ind w:left="1028" w:right="5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Производить монтаж и демонтаж электротехнической продукции при включенном электропитании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280035</wp:posOffset>
            </wp:positionH>
            <wp:positionV relativeFrom="paragraph">
              <wp:posOffset>153670</wp:posOffset>
            </wp:positionV>
            <wp:extent cx="274320" cy="241300"/>
            <wp:effectExtent b="0" l="0" r="0" t="0"/>
            <wp:wrapNone/>
            <wp:docPr id="2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41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93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Внимание! Перед установкой или заменой отключите питание!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212" w:line="240" w:lineRule="auto"/>
        <w:ind w:left="586" w:right="245" w:hanging="2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Светодиодные светильники ООО «РЭС» и комплектующие при подключении не должны иметь механических повреждений.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6" w:line="240" w:lineRule="auto"/>
        <w:ind w:left="586" w:right="240" w:hanging="2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При монтаже необходимо соблюдать инструкции по подключению – неверное соединение может повредить изделие.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7"/>
        </w:tabs>
        <w:spacing w:after="0" w:before="0" w:line="240" w:lineRule="auto"/>
        <w:ind w:left="586" w:right="245" w:hanging="2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Проводить монтаж электротехнической продукции ООО «РЭС» рекомендуется в соответствии с приложенными инструкциями лицом, имеющим специальный допуск для проведения соответствующих работ.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5"/>
        </w:tabs>
        <w:spacing w:after="0" w:before="0" w:line="240" w:lineRule="auto"/>
        <w:ind w:left="584" w:right="243" w:hanging="35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В целях повышения надежности и увеличения срока службы рекомендуется периодически осматривать находящуюся в эксплуатации электротехническую продукцию с целью обнаружения возможного загрязнения, механических повреждений и оценки работоспособности.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85"/>
        </w:tabs>
        <w:spacing w:after="0" w:before="4" w:line="240" w:lineRule="auto"/>
        <w:ind w:left="584" w:right="240" w:hanging="35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С целью исключения поражения электрическим током, светильник должен быть заземлен. Для заземления на корпусе светильника имеется клемма.</w:t>
      </w:r>
    </w:p>
    <w:sectPr>
      <w:pgSz w:h="11906" w:w="8391" w:orient="portrait"/>
      <w:pgMar w:bottom="720" w:top="56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Roboto L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7"/>
      <w:numFmt w:val="decimal"/>
      <w:lvlText w:val="%1.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vertAlign w:val="baseline"/>
      </w:rPr>
    </w:lvl>
  </w:abstractNum>
  <w:abstractNum w:abstractNumId="5">
    <w:lvl w:ilvl="0">
      <w:start w:val="7"/>
      <w:numFmt w:val="decimal"/>
      <w:lvlText w:val="%1"/>
      <w:lvlJc w:val="left"/>
      <w:pPr>
        <w:ind w:left="586" w:hanging="361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586" w:hanging="361"/>
      </w:pPr>
      <w:rPr>
        <w:rFonts w:ascii="Calibri" w:cs="Calibri" w:eastAsia="Calibri" w:hAnsi="Calibri"/>
        <w:b w:val="0"/>
        <w:sz w:val="17"/>
        <w:szCs w:val="17"/>
        <w:vertAlign w:val="baseline"/>
      </w:rPr>
    </w:lvl>
    <w:lvl w:ilvl="2">
      <w:start w:val="0"/>
      <w:numFmt w:val="bullet"/>
      <w:lvlText w:val="•"/>
      <w:lvlJc w:val="left"/>
      <w:pPr>
        <w:ind w:left="2038" w:hanging="360.99999999999955"/>
      </w:pPr>
      <w:rPr>
        <w:vertAlign w:val="baseline"/>
      </w:rPr>
    </w:lvl>
    <w:lvl w:ilvl="3">
      <w:start w:val="0"/>
      <w:numFmt w:val="bullet"/>
      <w:lvlText w:val="•"/>
      <w:lvlJc w:val="left"/>
      <w:pPr>
        <w:ind w:left="2767" w:hanging="361"/>
      </w:pPr>
      <w:rPr>
        <w:vertAlign w:val="baseline"/>
      </w:rPr>
    </w:lvl>
    <w:lvl w:ilvl="4">
      <w:start w:val="0"/>
      <w:numFmt w:val="bullet"/>
      <w:lvlText w:val="•"/>
      <w:lvlJc w:val="left"/>
      <w:pPr>
        <w:ind w:left="3496" w:hanging="361"/>
      </w:pPr>
      <w:rPr>
        <w:vertAlign w:val="baseline"/>
      </w:rPr>
    </w:lvl>
    <w:lvl w:ilvl="5">
      <w:start w:val="0"/>
      <w:numFmt w:val="bullet"/>
      <w:lvlText w:val="•"/>
      <w:lvlJc w:val="left"/>
      <w:pPr>
        <w:ind w:left="4225" w:hanging="361"/>
      </w:pPr>
      <w:rPr>
        <w:vertAlign w:val="baseline"/>
      </w:rPr>
    </w:lvl>
    <w:lvl w:ilvl="6">
      <w:start w:val="0"/>
      <w:numFmt w:val="bullet"/>
      <w:lvlText w:val="•"/>
      <w:lvlJc w:val="left"/>
      <w:pPr>
        <w:ind w:left="4954" w:hanging="361"/>
      </w:pPr>
      <w:rPr>
        <w:vertAlign w:val="baseline"/>
      </w:rPr>
    </w:lvl>
    <w:lvl w:ilvl="7">
      <w:start w:val="0"/>
      <w:numFmt w:val="bullet"/>
      <w:lvlText w:val="•"/>
      <w:lvlJc w:val="left"/>
      <w:pPr>
        <w:ind w:left="5683" w:hanging="361.0000000000018"/>
      </w:pPr>
      <w:rPr>
        <w:vertAlign w:val="baseline"/>
      </w:rPr>
    </w:lvl>
    <w:lvl w:ilvl="8">
      <w:start w:val="0"/>
      <w:numFmt w:val="bullet"/>
      <w:lvlText w:val="•"/>
      <w:lvlJc w:val="left"/>
      <w:pPr>
        <w:ind w:left="6412" w:hanging="361"/>
      </w:pPr>
      <w:rPr>
        <w:vertAlign w:val="baseline"/>
      </w:rPr>
    </w:lvl>
  </w:abstractNum>
  <w:abstractNum w:abstractNumId="6">
    <w:lvl w:ilvl="0">
      <w:start w:val="0"/>
      <w:numFmt w:val="bullet"/>
      <w:lvlText w:val="●"/>
      <w:lvlJc w:val="left"/>
      <w:pPr>
        <w:ind w:left="586" w:hanging="361"/>
      </w:pPr>
      <w:rPr>
        <w:rFonts w:ascii="Noto Sans Symbols" w:cs="Noto Sans Symbols" w:eastAsia="Noto Sans Symbols" w:hAnsi="Noto Sans Symbols"/>
        <w:b w:val="0"/>
        <w:sz w:val="17"/>
        <w:szCs w:val="17"/>
        <w:vertAlign w:val="baseline"/>
      </w:rPr>
    </w:lvl>
    <w:lvl w:ilvl="1">
      <w:start w:val="0"/>
      <w:numFmt w:val="bullet"/>
      <w:lvlText w:val="•"/>
      <w:lvlJc w:val="left"/>
      <w:pPr>
        <w:ind w:left="1309" w:hanging="360.9999999999999"/>
      </w:pPr>
      <w:rPr>
        <w:vertAlign w:val="baseline"/>
      </w:rPr>
    </w:lvl>
    <w:lvl w:ilvl="2">
      <w:start w:val="0"/>
      <w:numFmt w:val="bullet"/>
      <w:lvlText w:val="•"/>
      <w:lvlJc w:val="left"/>
      <w:pPr>
        <w:ind w:left="2038" w:hanging="360.99999999999955"/>
      </w:pPr>
      <w:rPr>
        <w:vertAlign w:val="baseline"/>
      </w:rPr>
    </w:lvl>
    <w:lvl w:ilvl="3">
      <w:start w:val="0"/>
      <w:numFmt w:val="bullet"/>
      <w:lvlText w:val="•"/>
      <w:lvlJc w:val="left"/>
      <w:pPr>
        <w:ind w:left="2767" w:hanging="361"/>
      </w:pPr>
      <w:rPr>
        <w:vertAlign w:val="baseline"/>
      </w:rPr>
    </w:lvl>
    <w:lvl w:ilvl="4">
      <w:start w:val="0"/>
      <w:numFmt w:val="bullet"/>
      <w:lvlText w:val="•"/>
      <w:lvlJc w:val="left"/>
      <w:pPr>
        <w:ind w:left="3496" w:hanging="361"/>
      </w:pPr>
      <w:rPr>
        <w:vertAlign w:val="baseline"/>
      </w:rPr>
    </w:lvl>
    <w:lvl w:ilvl="5">
      <w:start w:val="0"/>
      <w:numFmt w:val="bullet"/>
      <w:lvlText w:val="•"/>
      <w:lvlJc w:val="left"/>
      <w:pPr>
        <w:ind w:left="4225" w:hanging="361"/>
      </w:pPr>
      <w:rPr>
        <w:vertAlign w:val="baseline"/>
      </w:rPr>
    </w:lvl>
    <w:lvl w:ilvl="6">
      <w:start w:val="0"/>
      <w:numFmt w:val="bullet"/>
      <w:lvlText w:val="•"/>
      <w:lvlJc w:val="left"/>
      <w:pPr>
        <w:ind w:left="4954" w:hanging="361"/>
      </w:pPr>
      <w:rPr>
        <w:vertAlign w:val="baseline"/>
      </w:rPr>
    </w:lvl>
    <w:lvl w:ilvl="7">
      <w:start w:val="0"/>
      <w:numFmt w:val="bullet"/>
      <w:lvlText w:val="•"/>
      <w:lvlJc w:val="left"/>
      <w:pPr>
        <w:ind w:left="5683" w:hanging="361.0000000000018"/>
      </w:pPr>
      <w:rPr>
        <w:vertAlign w:val="baseline"/>
      </w:rPr>
    </w:lvl>
    <w:lvl w:ilvl="8">
      <w:start w:val="0"/>
      <w:numFmt w:val="bullet"/>
      <w:lvlText w:val="•"/>
      <w:lvlJc w:val="left"/>
      <w:pPr>
        <w:ind w:left="6412" w:hanging="361"/>
      </w:pPr>
      <w:rPr>
        <w:vertAlign w:val="baseline"/>
      </w:rPr>
    </w:lvl>
  </w:abstractNum>
  <w:abstractNum w:abstractNumId="7">
    <w:lvl w:ilvl="0">
      <w:start w:val="8"/>
      <w:numFmt w:val="decimal"/>
      <w:lvlText w:val="%1"/>
      <w:lvlJc w:val="left"/>
      <w:pPr>
        <w:ind w:left="586" w:hanging="361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586" w:hanging="361"/>
      </w:pPr>
      <w:rPr>
        <w:rFonts w:ascii="Calibri" w:cs="Calibri" w:eastAsia="Calibri" w:hAnsi="Calibri"/>
        <w:b w:val="0"/>
        <w:sz w:val="18"/>
        <w:szCs w:val="18"/>
        <w:vertAlign w:val="baseline"/>
      </w:rPr>
    </w:lvl>
    <w:lvl w:ilvl="2">
      <w:start w:val="0"/>
      <w:numFmt w:val="bullet"/>
      <w:lvlText w:val="•"/>
      <w:lvlJc w:val="left"/>
      <w:pPr>
        <w:ind w:left="2038" w:hanging="360.99999999999955"/>
      </w:pPr>
      <w:rPr>
        <w:vertAlign w:val="baseline"/>
      </w:rPr>
    </w:lvl>
    <w:lvl w:ilvl="3">
      <w:start w:val="0"/>
      <w:numFmt w:val="bullet"/>
      <w:lvlText w:val="•"/>
      <w:lvlJc w:val="left"/>
      <w:pPr>
        <w:ind w:left="2767" w:hanging="361"/>
      </w:pPr>
      <w:rPr>
        <w:vertAlign w:val="baseline"/>
      </w:rPr>
    </w:lvl>
    <w:lvl w:ilvl="4">
      <w:start w:val="0"/>
      <w:numFmt w:val="bullet"/>
      <w:lvlText w:val="•"/>
      <w:lvlJc w:val="left"/>
      <w:pPr>
        <w:ind w:left="3496" w:hanging="361"/>
      </w:pPr>
      <w:rPr>
        <w:vertAlign w:val="baseline"/>
      </w:rPr>
    </w:lvl>
    <w:lvl w:ilvl="5">
      <w:start w:val="0"/>
      <w:numFmt w:val="bullet"/>
      <w:lvlText w:val="•"/>
      <w:lvlJc w:val="left"/>
      <w:pPr>
        <w:ind w:left="4225" w:hanging="361"/>
      </w:pPr>
      <w:rPr>
        <w:vertAlign w:val="baseline"/>
      </w:rPr>
    </w:lvl>
    <w:lvl w:ilvl="6">
      <w:start w:val="0"/>
      <w:numFmt w:val="bullet"/>
      <w:lvlText w:val="•"/>
      <w:lvlJc w:val="left"/>
      <w:pPr>
        <w:ind w:left="4954" w:hanging="361"/>
      </w:pPr>
      <w:rPr>
        <w:vertAlign w:val="baseline"/>
      </w:rPr>
    </w:lvl>
    <w:lvl w:ilvl="7">
      <w:start w:val="0"/>
      <w:numFmt w:val="bullet"/>
      <w:lvlText w:val="•"/>
      <w:lvlJc w:val="left"/>
      <w:pPr>
        <w:ind w:left="5683" w:hanging="361.0000000000018"/>
      </w:pPr>
      <w:rPr>
        <w:vertAlign w:val="baseline"/>
      </w:rPr>
    </w:lvl>
    <w:lvl w:ilvl="8">
      <w:start w:val="0"/>
      <w:numFmt w:val="bullet"/>
      <w:lvlText w:val="•"/>
      <w:lvlJc w:val="left"/>
      <w:pPr>
        <w:ind w:left="6412" w:hanging="361"/>
      </w:pPr>
      <w:rPr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586" w:hanging="361"/>
      </w:pPr>
      <w:rPr>
        <w:rFonts w:ascii="Arial" w:cs="Arial" w:eastAsia="Arial" w:hAnsi="Arial"/>
        <w:b w:val="1"/>
        <w:sz w:val="17"/>
        <w:szCs w:val="17"/>
        <w:vertAlign w:val="baseline"/>
      </w:rPr>
    </w:lvl>
    <w:lvl w:ilvl="1">
      <w:start w:val="1"/>
      <w:numFmt w:val="decimal"/>
      <w:lvlText w:val="%1.%2."/>
      <w:lvlJc w:val="left"/>
      <w:pPr>
        <w:ind w:left="586" w:hanging="298"/>
      </w:pPr>
      <w:rPr>
        <w:rFonts w:ascii="Calibri" w:cs="Calibri" w:eastAsia="Calibri" w:hAnsi="Calibri"/>
        <w:b w:val="0"/>
        <w:sz w:val="17"/>
        <w:szCs w:val="17"/>
        <w:vertAlign w:val="baseline"/>
      </w:rPr>
    </w:lvl>
    <w:lvl w:ilvl="2">
      <w:start w:val="0"/>
      <w:numFmt w:val="bullet"/>
      <w:lvlText w:val="•"/>
      <w:lvlJc w:val="left"/>
      <w:pPr>
        <w:ind w:left="1443" w:hanging="297.9999999999998"/>
      </w:pPr>
      <w:rPr>
        <w:vertAlign w:val="baseline"/>
      </w:rPr>
    </w:lvl>
    <w:lvl w:ilvl="3">
      <w:start w:val="0"/>
      <w:numFmt w:val="bullet"/>
      <w:lvlText w:val="•"/>
      <w:lvlJc w:val="left"/>
      <w:pPr>
        <w:ind w:left="2246" w:hanging="298.0000000000002"/>
      </w:pPr>
      <w:rPr>
        <w:vertAlign w:val="baseline"/>
      </w:rPr>
    </w:lvl>
    <w:lvl w:ilvl="4">
      <w:start w:val="0"/>
      <w:numFmt w:val="bullet"/>
      <w:lvlText w:val="•"/>
      <w:lvlJc w:val="left"/>
      <w:pPr>
        <w:ind w:left="3050" w:hanging="298"/>
      </w:pPr>
      <w:rPr>
        <w:vertAlign w:val="baseline"/>
      </w:rPr>
    </w:lvl>
    <w:lvl w:ilvl="5">
      <w:start w:val="0"/>
      <w:numFmt w:val="bullet"/>
      <w:lvlText w:val="•"/>
      <w:lvlJc w:val="left"/>
      <w:pPr>
        <w:ind w:left="3853" w:hanging="298"/>
      </w:pPr>
      <w:rPr>
        <w:vertAlign w:val="baseline"/>
      </w:rPr>
    </w:lvl>
    <w:lvl w:ilvl="6">
      <w:start w:val="0"/>
      <w:numFmt w:val="bullet"/>
      <w:lvlText w:val="•"/>
      <w:lvlJc w:val="left"/>
      <w:pPr>
        <w:ind w:left="4656" w:hanging="298"/>
      </w:pPr>
      <w:rPr>
        <w:vertAlign w:val="baseline"/>
      </w:rPr>
    </w:lvl>
    <w:lvl w:ilvl="7">
      <w:start w:val="0"/>
      <w:numFmt w:val="bullet"/>
      <w:lvlText w:val="•"/>
      <w:lvlJc w:val="left"/>
      <w:pPr>
        <w:ind w:left="5460" w:hanging="298"/>
      </w:pPr>
      <w:rPr>
        <w:vertAlign w:val="baseline"/>
      </w:rPr>
    </w:lvl>
    <w:lvl w:ilvl="8">
      <w:start w:val="0"/>
      <w:numFmt w:val="bullet"/>
      <w:lvlText w:val="•"/>
      <w:lvlJc w:val="left"/>
      <w:pPr>
        <w:ind w:left="6263" w:hanging="298"/>
      </w:pPr>
      <w:rPr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ru-RU"/>
    </w:rPr>
  </w:style>
  <w:style w:type="paragraph" w:styleId="Заголовок1">
    <w:name w:val="Заголовок 1"/>
    <w:basedOn w:val="Обычный"/>
    <w:next w:val="Обычный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before="4" w:line="1" w:lineRule="atLeast"/>
      <w:ind w:left="237" w:right="255" w:leftChars="-1" w:rightChars="0" w:firstLineChars="-1"/>
      <w:jc w:val="center"/>
      <w:textDirection w:val="btLr"/>
      <w:textAlignment w:val="top"/>
      <w:outlineLvl w:val="0"/>
    </w:pPr>
    <w:rPr>
      <w:b w:val="1"/>
      <w:bCs w:val="1"/>
      <w:i w:val="1"/>
      <w:iCs w:val="1"/>
      <w:w w:val="100"/>
      <w:position w:val="-1"/>
      <w:sz w:val="48"/>
      <w:szCs w:val="48"/>
      <w:effect w:val="none"/>
      <w:vertAlign w:val="baseline"/>
      <w:cs w:val="0"/>
      <w:em w:val="none"/>
      <w:lang w:bidi="ar-SA" w:eastAsia="ru-RU" w:val="ru-RU"/>
    </w:rPr>
  </w:style>
  <w:style w:type="paragraph" w:styleId="Заголовок2">
    <w:name w:val="Заголовок 2"/>
    <w:basedOn w:val="Обычный"/>
    <w:next w:val="Обычный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586" w:leftChars="-1" w:rightChars="0" w:hanging="360" w:firstLineChars="-1"/>
      <w:textDirection w:val="btLr"/>
      <w:textAlignment w:val="top"/>
      <w:outlineLvl w:val="1"/>
    </w:pPr>
    <w:rPr>
      <w:b w:val="1"/>
      <w:bCs w:val="1"/>
      <w:i w:val="1"/>
      <w:iCs w:val="1"/>
      <w:w w:val="100"/>
      <w:position w:val="-1"/>
      <w:sz w:val="17"/>
      <w:szCs w:val="17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17"/>
      <w:szCs w:val="17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rFonts w:ascii="Calibri" w:cs="Calibri" w:hAnsi="Calibri"/>
      <w:w w:val="100"/>
      <w:position w:val="-1"/>
      <w:effect w:val="none"/>
      <w:vertAlign w:val="baseline"/>
      <w:cs w:val="0"/>
      <w:em w:val="none"/>
      <w:lang/>
    </w:rPr>
  </w:style>
  <w:style w:type="character" w:styleId="Заголовок1Знак">
    <w:name w:val="Заголовок 1 Знак"/>
    <w:next w:val="Заголовок1Знак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Заголовок2Знак">
    <w:name w:val="Заголовок 2 Знак"/>
    <w:next w:val="Заголовок2Знак"/>
    <w:autoRedefine w:val="0"/>
    <w:hidden w:val="0"/>
    <w:qFormat w:val="0"/>
    <w:rPr>
      <w:rFonts w:ascii="Calibri Light" w:cs="Times New Roman" w:eastAsia="Times New Roman" w:hAnsi="Calibri Light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586" w:leftChars="-1" w:rightChars="0" w:hanging="36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TableParagraph">
    <w:name w:val="Table Paragraph"/>
    <w:basedOn w:val="Обычный"/>
    <w:next w:val="TableParagraph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25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widowControl w:val="0"/>
      <w:suppressAutoHyphens w:val="1"/>
      <w:autoSpaceDE w:val="0"/>
      <w:autoSpaceDN w:val="0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eastAsia="en-US" w:val="en-US"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1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ru-RU" w:val="ru-RU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Основнойтекстсотступом21">
    <w:name w:val="Основной текст с отступом 21"/>
    <w:basedOn w:val="Обычный"/>
    <w:next w:val="Основнойтекстсотступом21"/>
    <w:autoRedefine w:val="0"/>
    <w:hidden w:val="0"/>
    <w:qFormat w:val="0"/>
    <w:pPr>
      <w:widowControl w:val="1"/>
      <w:suppressAutoHyphens w:val="0"/>
      <w:autoSpaceDE w:val="1"/>
      <w:autoSpaceDN w:val="1"/>
      <w:adjustRightInd w:val="1"/>
      <w:spacing w:line="1" w:lineRule="atLeast"/>
      <w:ind w:left="57" w:leftChars="-1" w:rightChars="0" w:firstLine="454" w:firstLineChars="-1"/>
      <w:jc w:val="both"/>
      <w:textDirection w:val="btLr"/>
      <w:textAlignment w:val="top"/>
      <w:outlineLvl w:val="0"/>
    </w:pPr>
    <w:rPr>
      <w:rFonts w:ascii="Times New Roman" w:cs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1"/>
    <w:pPr>
      <w:widowControl w:val="0"/>
      <w:tabs>
        <w:tab w:val="center" w:leader="none" w:pos="4677"/>
        <w:tab w:val="right" w:leader="none" w:pos="9355"/>
      </w:tabs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ru-RU"/>
    </w:rPr>
  </w:style>
  <w:style w:type="character" w:styleId="ВерхнийколонтитулЗнак">
    <w:name w:val="Верхний колонтитул Знак"/>
    <w:next w:val="ВерхнийколонтитулЗнак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1"/>
    <w:pPr>
      <w:widowControl w:val="0"/>
      <w:tabs>
        <w:tab w:val="center" w:leader="none" w:pos="4677"/>
        <w:tab w:val="right" w:leader="none" w:pos="9355"/>
      </w:tabs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ru-RU"/>
    </w:rPr>
  </w:style>
  <w:style w:type="character" w:styleId="НижнийколонтитулЗнак">
    <w:name w:val="Нижний колонтитул Знак"/>
    <w:next w:val="НижнийколонтитулЗнак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widowControl w:val="1"/>
      <w:suppressAutoHyphens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png"/><Relationship Id="rId11" Type="http://schemas.openxmlformats.org/officeDocument/2006/relationships/image" Target="media/image14.png"/><Relationship Id="rId10" Type="http://schemas.openxmlformats.org/officeDocument/2006/relationships/image" Target="media/image15.png"/><Relationship Id="rId21" Type="http://schemas.openxmlformats.org/officeDocument/2006/relationships/image" Target="media/image3.png"/><Relationship Id="rId13" Type="http://schemas.openxmlformats.org/officeDocument/2006/relationships/image" Target="media/image7.png"/><Relationship Id="rId12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6.png"/><Relationship Id="rId17" Type="http://schemas.openxmlformats.org/officeDocument/2006/relationships/image" Target="media/image5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image" Target="media/image11.png"/><Relationship Id="rId6" Type="http://schemas.openxmlformats.org/officeDocument/2006/relationships/customXml" Target="../customXML/item1.xml"/><Relationship Id="rId18" Type="http://schemas.openxmlformats.org/officeDocument/2006/relationships/image" Target="media/image4.png"/><Relationship Id="rId7" Type="http://schemas.openxmlformats.org/officeDocument/2006/relationships/image" Target="media/image12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RobotoLight-regular.ttf"/><Relationship Id="rId4" Type="http://schemas.openxmlformats.org/officeDocument/2006/relationships/font" Target="fonts/RobotoLight-bold.ttf"/><Relationship Id="rId5" Type="http://schemas.openxmlformats.org/officeDocument/2006/relationships/font" Target="fonts/RobotoLight-italic.ttf"/><Relationship Id="rId6" Type="http://schemas.openxmlformats.org/officeDocument/2006/relationships/font" Target="fonts/RobotoLight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KKljRXzT11oBON2baEULCfpJ0g==">CgMxLjAyCGguZ2pkZ3hzMgloLjMwajB6bGwyCWguMWZvYjl0ZTIJaC4zem55c2g3OAByITFLZmRUQ3htMnAxMWJxRGY0QkFHOUZXSGxOa3otUFJHcA==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2023-11-17T12:18:00Z</dcterms:created>
  <dc:creator>elena.uporova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